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DEEAF6" w:themeColor="accent5" w:themeTint="33"/>
  <w:body>
    <w:p w:rsidR="00841B76" w:rsidRDefault="00000000" w:rsidP="00683ECC">
      <w:pPr>
        <w:spacing w:after="40"/>
      </w:pPr>
      <w:r>
        <w:rPr>
          <w:b/>
          <w:bCs/>
          <w:color w:val="1F3864"/>
          <w:sz w:val="30"/>
          <w:szCs w:val="30"/>
        </w:rPr>
        <w:t>QUICK REFERENCE — LASER WELDING ROBOTS IN OIL &amp; GAS FABRICATION (2025)</w:t>
      </w:r>
    </w:p>
    <w:p w:rsidR="00841B76" w:rsidRDefault="00000000" w:rsidP="00683ECC">
      <w:pPr>
        <w:pBdr>
          <w:bottom w:val="single" w:sz="6" w:space="4" w:color="2E75B6"/>
        </w:pBdr>
        <w:spacing w:after="200"/>
      </w:pPr>
      <w:r>
        <w:rPr>
          <w:i/>
          <w:iCs/>
          <w:color w:val="595959"/>
          <w:sz w:val="17"/>
          <w:szCs w:val="17"/>
        </w:rPr>
        <w:t>Companion chart to: Laser Welding Robots in Oil and Gas Fabrication — What Changed in 2025 | FreeDocumentsHub.com</w:t>
      </w:r>
    </w:p>
    <w:p w:rsidR="00841B76" w:rsidRDefault="00000000" w:rsidP="00683ECC">
      <w:pPr>
        <w:spacing w:after="100"/>
      </w:pPr>
      <w:r>
        <w:rPr>
          <w:b/>
          <w:bCs/>
          <w:color w:val="2E75B6"/>
          <w:sz w:val="20"/>
          <w:szCs w:val="20"/>
        </w:rPr>
        <w:t>1. What Changed in 2025 — At a Glance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68"/>
        <w:gridCol w:w="5616"/>
        <w:gridCol w:w="5616"/>
      </w:tblGrid>
      <w:tr w:rsidR="00841B7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Area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Before 2025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2025 Change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Code coverage (ASME Sec. IX)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LBW qualified by analogy to other processes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Dedicated LLBW essential-variable WPS tables added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Thick-section joints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Hybrid laser-arc mainly lab / JIP stage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Narrow-groove studies on 20–25mm X80/X120 steel advance toward production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Equipment access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Six-axis cells; high capex, large footprint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Cobot laser welding mainstream at FABTECH 2025; ~40% of installs by SMEs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Surface preparation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Separate chemical/mechanical cleaning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Integrated laser pre/post-weld cleaning modes on new systems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Supply chain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Stable component sourcing</w:t>
            </w:r>
          </w:p>
        </w:tc>
        <w:tc>
          <w:tcPr>
            <w:tcW w:w="561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2025 US tariffs on steel &amp; components prompt sourcing review</w:t>
            </w:r>
          </w:p>
        </w:tc>
      </w:tr>
    </w:tbl>
    <w:p w:rsidR="00841B76" w:rsidRDefault="00000000" w:rsidP="00683ECC">
      <w:pPr>
        <w:spacing w:before="200" w:after="100"/>
      </w:pPr>
      <w:r>
        <w:rPr>
          <w:b/>
          <w:bCs/>
          <w:color w:val="2E75B6"/>
          <w:sz w:val="20"/>
          <w:szCs w:val="20"/>
        </w:rPr>
        <w:t>2. Laser vs. Hybrid Laser-Arc vs. Conventional Arc — Quick Comparison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68"/>
        <w:gridCol w:w="3744"/>
        <w:gridCol w:w="3744"/>
        <w:gridCol w:w="3744"/>
      </w:tblGrid>
      <w:tr w:rsidR="00841B7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Factor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Conventional Arc (GMAW/SAW)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Laser Welding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Hybrid Laser-Arc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Typical thickness range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Unlimited (multi-pass)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Thin to ~10–15mm single pass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Up to 25mm+, fewer passes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Travel speed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Baseline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Up to ~10x faster (comparable thickness)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2–3x faster than arc alone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Heat-affected zone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Wider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Narrowest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Narrow, wider than laser alone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Filler metal use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Highest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Often none required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Reduced vs. arc-only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Code qualification path (Sec. IX, 2025)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Long-established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Now has dedicated LLBW tables</w:t>
            </w:r>
          </w:p>
        </w:tc>
        <w:tc>
          <w:tcPr>
            <w:tcW w:w="37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Qualified per applicable laser + arc variables</w:t>
            </w:r>
          </w:p>
        </w:tc>
      </w:tr>
    </w:tbl>
    <w:p w:rsidR="00841B76" w:rsidRDefault="00000000" w:rsidP="00683ECC">
      <w:pPr>
        <w:spacing w:before="200" w:after="100"/>
      </w:pPr>
      <w:r>
        <w:rPr>
          <w:b/>
          <w:bCs/>
          <w:color w:val="2E75B6"/>
          <w:sz w:val="20"/>
          <w:szCs w:val="20"/>
        </w:rPr>
        <w:t>3. Market &amp; Adoption Snapshot (2025)</w:t>
      </w: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20"/>
        <w:gridCol w:w="6480"/>
      </w:tblGrid>
      <w:tr w:rsidR="00841B7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Metric</w:t>
            </w:r>
          </w:p>
        </w:tc>
        <w:tc>
          <w:tcPr>
            <w:tcW w:w="6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70" w:type="dxa"/>
              <w:left w:w="110" w:type="dxa"/>
              <w:bottom w:w="70" w:type="dxa"/>
              <w:right w:w="110" w:type="dxa"/>
            </w:tcMar>
          </w:tcPr>
          <w:p w:rsidR="00841B76" w:rsidRDefault="00000000" w:rsidP="00683ECC">
            <w:r>
              <w:rPr>
                <w:b/>
                <w:bCs/>
                <w:color w:val="FFFFFF"/>
                <w:sz w:val="17"/>
                <w:szCs w:val="17"/>
              </w:rPr>
              <w:t>2025 Figure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7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Global robotic welding market size</w:t>
            </w:r>
          </w:p>
        </w:tc>
        <w:tc>
          <w:tcPr>
            <w:tcW w:w="6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~USD 7.0–7.2 billion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7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Projected CAGR through 2030</w:t>
            </w:r>
          </w:p>
        </w:tc>
        <w:tc>
          <w:tcPr>
            <w:tcW w:w="6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~9.6%–10%+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7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Share of new robotic welding installs by SMEs</w:t>
            </w:r>
          </w:p>
        </w:tc>
        <w:tc>
          <w:tcPr>
            <w:tcW w:w="6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~40%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7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Projected US welder shortage by 2027</w:t>
            </w:r>
          </w:p>
        </w:tc>
        <w:tc>
          <w:tcPr>
            <w:tcW w:w="6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360,000+ (American Welding Society)</w:t>
            </w:r>
          </w:p>
        </w:tc>
      </w:tr>
      <w:tr w:rsidR="00841B76">
        <w:tblPrEx>
          <w:tblCellMar>
            <w:top w:w="0" w:type="dxa"/>
            <w:bottom w:w="0" w:type="dxa"/>
          </w:tblCellMar>
        </w:tblPrEx>
        <w:tc>
          <w:tcPr>
            <w:tcW w:w="7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Global laser welding market size (2025)</w:t>
            </w:r>
          </w:p>
        </w:tc>
        <w:tc>
          <w:tcPr>
            <w:tcW w:w="6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10" w:type="dxa"/>
              <w:bottom w:w="60" w:type="dxa"/>
              <w:right w:w="110" w:type="dxa"/>
            </w:tcMar>
          </w:tcPr>
          <w:p w:rsidR="00841B76" w:rsidRDefault="00000000" w:rsidP="00683ECC">
            <w:r>
              <w:rPr>
                <w:sz w:val="17"/>
                <w:szCs w:val="17"/>
              </w:rPr>
              <w:t>~USD 2.9 billion</w:t>
            </w:r>
          </w:p>
        </w:tc>
      </w:tr>
    </w:tbl>
    <w:p w:rsidR="00841B76" w:rsidRDefault="00841B76" w:rsidP="00683ECC">
      <w:pPr>
        <w:spacing w:before="200" w:after="100"/>
      </w:pP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0"/>
      </w:tblGrid>
      <w:tr w:rsidR="00841B76">
        <w:tblPrEx>
          <w:tblCellMar>
            <w:top w:w="0" w:type="dxa"/>
            <w:bottom w:w="0" w:type="dxa"/>
          </w:tblCellMar>
        </w:tblPrEx>
        <w:tc>
          <w:tcPr>
            <w:tcW w:w="14400" w:type="dxa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  <w:shd w:val="clear" w:color="auto" w:fill="FFF2CC"/>
            <w:tcMar>
              <w:top w:w="100" w:type="dxa"/>
              <w:left w:w="150" w:type="dxa"/>
              <w:bottom w:w="100" w:type="dxa"/>
              <w:right w:w="150" w:type="dxa"/>
            </w:tcMar>
          </w:tcPr>
          <w:p w:rsidR="00841B76" w:rsidRDefault="00000000" w:rsidP="00683ECC">
            <w:r>
              <w:rPr>
                <w:b/>
                <w:bCs/>
                <w:color w:val="5C3D00"/>
              </w:rPr>
              <w:t>Action item for QC / welding engineers: Verify any laser or hybrid laser-arc WPS/PQR against the ASME BPVC Section IX 2025 edition — not earlier cycles — before submitting for vendor approval (e.g., Aramco AVL) or third-party code review.</w:t>
            </w:r>
          </w:p>
        </w:tc>
      </w:tr>
    </w:tbl>
    <w:p w:rsidR="00EC0FF1" w:rsidRDefault="00EC0FF1" w:rsidP="00683ECC"/>
    <w:sectPr w:rsidR="00EC0FF1" w:rsidSect="00683E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C0FF1" w:rsidRDefault="00EC0FF1" w:rsidP="00683ECC">
      <w:r>
        <w:separator/>
      </w:r>
    </w:p>
  </w:endnote>
  <w:endnote w:type="continuationSeparator" w:id="0">
    <w:p w:rsidR="00EC0FF1" w:rsidRDefault="00EC0FF1" w:rsidP="00683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83ECC" w:rsidRDefault="00683E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83ECC" w:rsidRDefault="00683E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83ECC" w:rsidRDefault="00683E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C0FF1" w:rsidRDefault="00EC0FF1" w:rsidP="00683ECC">
      <w:r>
        <w:separator/>
      </w:r>
    </w:p>
  </w:footnote>
  <w:footnote w:type="continuationSeparator" w:id="0">
    <w:p w:rsidR="00EC0FF1" w:rsidRDefault="00EC0FF1" w:rsidP="00683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83ECC" w:rsidRDefault="00683E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83ECC" w:rsidRDefault="00683E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83ECC" w:rsidRDefault="00683E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340029"/>
    <w:multiLevelType w:val="hybridMultilevel"/>
    <w:tmpl w:val="B5E23B30"/>
    <w:lvl w:ilvl="0" w:tplc="2092DC68">
      <w:start w:val="1"/>
      <w:numFmt w:val="bullet"/>
      <w:lvlText w:val="●"/>
      <w:lvlJc w:val="left"/>
      <w:pPr>
        <w:ind w:left="720" w:hanging="360"/>
      </w:pPr>
    </w:lvl>
    <w:lvl w:ilvl="1" w:tplc="040ED868">
      <w:start w:val="1"/>
      <w:numFmt w:val="bullet"/>
      <w:lvlText w:val="○"/>
      <w:lvlJc w:val="left"/>
      <w:pPr>
        <w:ind w:left="1440" w:hanging="360"/>
      </w:pPr>
    </w:lvl>
    <w:lvl w:ilvl="2" w:tplc="9E849F2E">
      <w:start w:val="1"/>
      <w:numFmt w:val="bullet"/>
      <w:lvlText w:val="■"/>
      <w:lvlJc w:val="left"/>
      <w:pPr>
        <w:ind w:left="2160" w:hanging="360"/>
      </w:pPr>
    </w:lvl>
    <w:lvl w:ilvl="3" w:tplc="15884DBE">
      <w:start w:val="1"/>
      <w:numFmt w:val="bullet"/>
      <w:lvlText w:val="●"/>
      <w:lvlJc w:val="left"/>
      <w:pPr>
        <w:ind w:left="2880" w:hanging="360"/>
      </w:pPr>
    </w:lvl>
    <w:lvl w:ilvl="4" w:tplc="0512CE18">
      <w:start w:val="1"/>
      <w:numFmt w:val="bullet"/>
      <w:lvlText w:val="○"/>
      <w:lvlJc w:val="left"/>
      <w:pPr>
        <w:ind w:left="3600" w:hanging="360"/>
      </w:pPr>
    </w:lvl>
    <w:lvl w:ilvl="5" w:tplc="2070E5D8">
      <w:start w:val="1"/>
      <w:numFmt w:val="bullet"/>
      <w:lvlText w:val="■"/>
      <w:lvlJc w:val="left"/>
      <w:pPr>
        <w:ind w:left="4320" w:hanging="360"/>
      </w:pPr>
    </w:lvl>
    <w:lvl w:ilvl="6" w:tplc="1688E162">
      <w:start w:val="1"/>
      <w:numFmt w:val="bullet"/>
      <w:lvlText w:val="●"/>
      <w:lvlJc w:val="left"/>
      <w:pPr>
        <w:ind w:left="5040" w:hanging="360"/>
      </w:pPr>
    </w:lvl>
    <w:lvl w:ilvl="7" w:tplc="2292A0B0">
      <w:start w:val="1"/>
      <w:numFmt w:val="bullet"/>
      <w:lvlText w:val="●"/>
      <w:lvlJc w:val="left"/>
      <w:pPr>
        <w:ind w:left="5760" w:hanging="360"/>
      </w:pPr>
    </w:lvl>
    <w:lvl w:ilvl="8" w:tplc="2D2A2908">
      <w:start w:val="1"/>
      <w:numFmt w:val="bullet"/>
      <w:lvlText w:val="●"/>
      <w:lvlJc w:val="left"/>
      <w:pPr>
        <w:ind w:left="6480" w:hanging="360"/>
      </w:pPr>
    </w:lvl>
  </w:abstractNum>
  <w:num w:numId="1" w16cid:durableId="81291596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B76"/>
    <w:rsid w:val="00683ECC"/>
    <w:rsid w:val="00841B76"/>
    <w:rsid w:val="00DC2094"/>
    <w:rsid w:val="00EC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20C29ED-E23C-264D-B51F-E1BBED0F4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color w:val="262626"/>
        <w:sz w:val="18"/>
        <w:szCs w:val="18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83E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ECC"/>
  </w:style>
  <w:style w:type="paragraph" w:styleId="Footer">
    <w:name w:val="footer"/>
    <w:basedOn w:val="Normal"/>
    <w:link w:val="FooterChar"/>
    <w:uiPriority w:val="99"/>
    <w:unhideWhenUsed/>
    <w:rsid w:val="00683E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2026-06-27T01:35:00Z</dcterms:created>
  <dcterms:modified xsi:type="dcterms:W3CDTF">2026-06-27T01:40:00Z</dcterms:modified>
</cp:coreProperties>
</file>