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EEAF6" w:themeColor="accent5" w:themeTint="33"/>
  <w:body>
    <w:p w:rsidR="00793F7A" w:rsidRDefault="00000000">
      <w:pPr>
        <w:spacing w:after="60"/>
        <w:jc w:val="center"/>
      </w:pPr>
      <w:r>
        <w:rPr>
          <w:rFonts w:ascii="Arial" w:eastAsia="Arial" w:hAnsi="Arial" w:cs="Arial"/>
          <w:b/>
          <w:bCs/>
          <w:color w:val="1F3864"/>
          <w:sz w:val="32"/>
          <w:szCs w:val="32"/>
        </w:rPr>
        <w:t>PQR ↔ WPS QUICK REFERENCE</w:t>
      </w:r>
    </w:p>
    <w:p w:rsidR="00793F7A" w:rsidRDefault="00000000">
      <w:pPr>
        <w:spacing w:after="200"/>
        <w:jc w:val="center"/>
      </w:pPr>
      <w:r>
        <w:rPr>
          <w:rFonts w:ascii="Arial" w:eastAsia="Arial" w:hAnsi="Arial" w:cs="Arial"/>
          <w:i/>
          <w:iCs/>
          <w:color w:val="2E75B6"/>
        </w:rPr>
        <w:t>ASME Section IX — Procedure Qualification Record Essentials</w:t>
      </w:r>
    </w:p>
    <w:tbl>
      <w:tblPr>
        <w:tblW w:w="1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0"/>
        <w:gridCol w:w="7300"/>
      </w:tblGrid>
      <w:tr w:rsidR="00793F7A">
        <w:tblPrEx>
          <w:tblCellMar>
            <w:top w:w="0" w:type="dxa"/>
            <w:bottom w:w="0" w:type="dxa"/>
          </w:tblCellMar>
        </w:tblPrEx>
        <w:tc>
          <w:tcPr>
            <w:tcW w:w="7300" w:type="dxa"/>
            <w:tcMar>
              <w:right w:w="150" w:type="dxa"/>
            </w:tcMar>
          </w:tcPr>
          <w:p w:rsidR="00793F7A" w:rsidRDefault="00000000">
            <w:pPr>
              <w:spacing w:before="140" w:after="80"/>
            </w:pPr>
            <w:r>
              <w:rPr>
                <w:rFonts w:ascii="Arial" w:eastAsia="Arial" w:hAnsi="Arial" w:cs="Arial"/>
                <w:b/>
                <w:bCs/>
                <w:color w:val="2E75B6"/>
                <w:sz w:val="21"/>
                <w:szCs w:val="21"/>
              </w:rPr>
              <w:t>What a PQR Must Record (Actual, As-Run Values)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Welding process(es) used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Base metal P-No. / Group No.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Filler metal F-No. / A-No.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Test coupon &amp; deposited weld metal thickness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Preheat / interpass temperature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PWHT time &amp; temperature (if performed)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Shielding / backing gas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Test coupon welding position</w:t>
            </w:r>
          </w:p>
          <w:p w:rsidR="00793F7A" w:rsidRDefault="00000000">
            <w:pPr>
              <w:spacing w:before="140" w:after="80"/>
            </w:pPr>
            <w:r>
              <w:rPr>
                <w:rFonts w:ascii="Arial" w:eastAsia="Arial" w:hAnsi="Arial" w:cs="Arial"/>
                <w:b/>
                <w:bCs/>
                <w:color w:val="2E75B6"/>
                <w:sz w:val="21"/>
                <w:szCs w:val="21"/>
              </w:rPr>
              <w:t>Test Results That Must Be Attached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Tensile test results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Guided bend test results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Impact test results (if toughness required)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Hardness test results (if required)</w:t>
            </w:r>
          </w:p>
        </w:tc>
        <w:tc>
          <w:tcPr>
            <w:tcW w:w="7300" w:type="dxa"/>
            <w:tcMar>
              <w:left w:w="150" w:type="dxa"/>
            </w:tcMar>
          </w:tcPr>
          <w:p w:rsidR="00793F7A" w:rsidRDefault="00000000">
            <w:pPr>
              <w:spacing w:before="140" w:after="80"/>
            </w:pPr>
            <w:r>
              <w:rPr>
                <w:rFonts w:ascii="Arial" w:eastAsia="Arial" w:hAnsi="Arial" w:cs="Arial"/>
                <w:b/>
                <w:bCs/>
                <w:color w:val="2E75B6"/>
                <w:sz w:val="21"/>
                <w:szCs w:val="21"/>
              </w:rPr>
              <w:t>The Chain of Custody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1. Weld witnessed test coupon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2. Record actual variables as-run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3. Send coupon for mechanical / NDE testing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4. Document pass results on the PQR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5. PQR supports WPS production range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6. Welder qualified within WPS range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7. Production weld traceable to all of the above</w:t>
            </w:r>
          </w:p>
          <w:p w:rsidR="00793F7A" w:rsidRDefault="00000000">
            <w:pPr>
              <w:spacing w:before="140" w:after="80"/>
            </w:pPr>
            <w:r>
              <w:rPr>
                <w:rFonts w:ascii="Arial" w:eastAsia="Arial" w:hAnsi="Arial" w:cs="Arial"/>
                <w:b/>
                <w:bCs/>
                <w:color w:val="2E75B6"/>
                <w:sz w:val="21"/>
                <w:szCs w:val="21"/>
              </w:rPr>
              <w:t>Top PQR-to-WPS Non-Conformances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WPS range wider than PQR data supports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Supplementary essential variables omitted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Deposited thickness misapplied vs. QW-451 / QW-403.6 / QW-403.9</w:t>
            </w:r>
          </w:p>
          <w:p w:rsidR="00793F7A" w:rsidRDefault="0000000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>Production parameters not traceable to any qualified PQR</w:t>
            </w:r>
          </w:p>
        </w:tc>
      </w:tr>
    </w:tbl>
    <w:p w:rsidR="00793F7A" w:rsidRDefault="00793F7A">
      <w:pPr>
        <w:spacing w:after="160"/>
      </w:pPr>
    </w:p>
    <w:tbl>
      <w:tblPr>
        <w:tblW w:w="14600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D9D9D9"/>
          <w:insideV w:val="single" w:sz="6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0"/>
        <w:gridCol w:w="2920"/>
        <w:gridCol w:w="8760"/>
      </w:tblGrid>
      <w:tr w:rsidR="00793F7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20" w:type="dxa"/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Document</w:t>
            </w:r>
          </w:p>
        </w:tc>
        <w:tc>
          <w:tcPr>
            <w:tcW w:w="2920" w:type="dxa"/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Form</w:t>
            </w:r>
          </w:p>
        </w:tc>
        <w:tc>
          <w:tcPr>
            <w:tcW w:w="8760" w:type="dxa"/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What It Proves</w:t>
            </w:r>
          </w:p>
        </w:tc>
      </w:tr>
      <w:tr w:rsidR="00793F7A">
        <w:tblPrEx>
          <w:tblCellMar>
            <w:top w:w="0" w:type="dxa"/>
            <w:bottom w:w="0" w:type="dxa"/>
          </w:tblCellMar>
        </w:tblPrEx>
        <w:tc>
          <w:tcPr>
            <w:tcW w:w="292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sz w:val="18"/>
                <w:szCs w:val="18"/>
              </w:rPr>
              <w:t>PQR</w:t>
            </w:r>
          </w:p>
        </w:tc>
        <w:tc>
          <w:tcPr>
            <w:tcW w:w="292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sz w:val="18"/>
                <w:szCs w:val="18"/>
              </w:rPr>
              <w:t>QW-483</w:t>
            </w:r>
          </w:p>
        </w:tc>
        <w:tc>
          <w:tcPr>
            <w:tcW w:w="876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sz w:val="18"/>
                <w:szCs w:val="18"/>
              </w:rPr>
              <w:t>A specific variable set produced a code-compliant weld</w:t>
            </w:r>
          </w:p>
        </w:tc>
      </w:tr>
      <w:tr w:rsidR="00793F7A">
        <w:tblPrEx>
          <w:tblCellMar>
            <w:top w:w="0" w:type="dxa"/>
            <w:bottom w:w="0" w:type="dxa"/>
          </w:tblCellMar>
        </w:tblPrEx>
        <w:tc>
          <w:tcPr>
            <w:tcW w:w="2920" w:type="dxa"/>
            <w:shd w:val="clear" w:color="auto" w:fill="EEF3FA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sz w:val="18"/>
                <w:szCs w:val="18"/>
              </w:rPr>
              <w:t>WPS</w:t>
            </w:r>
          </w:p>
        </w:tc>
        <w:tc>
          <w:tcPr>
            <w:tcW w:w="2920" w:type="dxa"/>
            <w:shd w:val="clear" w:color="auto" w:fill="EEF3FA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sz w:val="18"/>
                <w:szCs w:val="18"/>
              </w:rPr>
              <w:t>QW-482</w:t>
            </w:r>
          </w:p>
        </w:tc>
        <w:tc>
          <w:tcPr>
            <w:tcW w:w="8760" w:type="dxa"/>
            <w:shd w:val="clear" w:color="auto" w:fill="EEF3FA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sz w:val="18"/>
                <w:szCs w:val="18"/>
              </w:rPr>
              <w:t>The production-acceptable range those PQR(s) support</w:t>
            </w:r>
          </w:p>
        </w:tc>
      </w:tr>
      <w:tr w:rsidR="00793F7A">
        <w:tblPrEx>
          <w:tblCellMar>
            <w:top w:w="0" w:type="dxa"/>
            <w:bottom w:w="0" w:type="dxa"/>
          </w:tblCellMar>
        </w:tblPrEx>
        <w:tc>
          <w:tcPr>
            <w:tcW w:w="292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sz w:val="18"/>
                <w:szCs w:val="18"/>
              </w:rPr>
              <w:t>WPQ</w:t>
            </w:r>
          </w:p>
        </w:tc>
        <w:tc>
          <w:tcPr>
            <w:tcW w:w="292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sz w:val="18"/>
                <w:szCs w:val="18"/>
              </w:rPr>
              <w:t>QW-484 / QW-485</w:t>
            </w:r>
          </w:p>
        </w:tc>
        <w:tc>
          <w:tcPr>
            <w:tcW w:w="876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93F7A" w:rsidRDefault="00000000">
            <w:r>
              <w:rPr>
                <w:rFonts w:ascii="Arial" w:eastAsia="Arial" w:hAnsi="Arial" w:cs="Arial"/>
                <w:sz w:val="18"/>
                <w:szCs w:val="18"/>
              </w:rPr>
              <w:t>An individual welder can weld within a qualified range</w:t>
            </w:r>
          </w:p>
        </w:tc>
      </w:tr>
    </w:tbl>
    <w:p w:rsidR="00793F7A" w:rsidRDefault="00793F7A">
      <w:pPr>
        <w:spacing w:after="160"/>
      </w:pPr>
    </w:p>
    <w:tbl>
      <w:tblPr>
        <w:tblW w:w="1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00"/>
      </w:tblGrid>
      <w:tr w:rsidR="00793F7A">
        <w:tblPrEx>
          <w:tblCellMar>
            <w:top w:w="0" w:type="dxa"/>
            <w:bottom w:w="0" w:type="dxa"/>
          </w:tblCellMar>
        </w:tblPrEx>
        <w:tc>
          <w:tcPr>
            <w:tcW w:w="14600" w:type="dxa"/>
            <w:tcBorders>
              <w:top w:val="single" w:sz="8" w:space="0" w:color="1F3864"/>
              <w:left w:val="single" w:sz="8" w:space="0" w:color="1F3864"/>
              <w:bottom w:val="single" w:sz="8" w:space="0" w:color="1F3864"/>
              <w:right w:val="single" w:sz="8" w:space="0" w:color="1F3864"/>
            </w:tcBorders>
            <w:shd w:val="clear" w:color="auto" w:fill="DCE6F1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793F7A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9"/>
                <w:szCs w:val="19"/>
              </w:rPr>
              <w:t>Need Your Package Reviewed Before an Audit?</w:t>
            </w:r>
          </w:p>
          <w:p w:rsidR="00793F7A" w:rsidRDefault="00000000">
            <w:pPr>
              <w:spacing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reviews and builds WPS/PQR packages for Aramco AVL and ASME compliance. WhatsApp: +966-XX-XXX-XXXX</w:t>
            </w:r>
          </w:p>
        </w:tc>
      </w:tr>
    </w:tbl>
    <w:p w:rsidR="00486F39" w:rsidRDefault="00486F39"/>
    <w:sectPr w:rsidR="00486F39" w:rsidSect="00526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20" w:right="620" w:bottom="620" w:left="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86F39" w:rsidRDefault="00486F39" w:rsidP="005265F7">
      <w:r>
        <w:separator/>
      </w:r>
    </w:p>
  </w:endnote>
  <w:endnote w:type="continuationSeparator" w:id="0">
    <w:p w:rsidR="00486F39" w:rsidRDefault="00486F39" w:rsidP="00526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265F7" w:rsidRDefault="005265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265F7" w:rsidRDefault="005265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265F7" w:rsidRDefault="00526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86F39" w:rsidRDefault="00486F39" w:rsidP="005265F7">
      <w:r>
        <w:separator/>
      </w:r>
    </w:p>
  </w:footnote>
  <w:footnote w:type="continuationSeparator" w:id="0">
    <w:p w:rsidR="00486F39" w:rsidRDefault="00486F39" w:rsidP="00526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265F7" w:rsidRDefault="005265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265F7" w:rsidRDefault="005265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265F7" w:rsidRDefault="005265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B4864"/>
    <w:multiLevelType w:val="hybridMultilevel"/>
    <w:tmpl w:val="B8F2CBC6"/>
    <w:lvl w:ilvl="0" w:tplc="071ABDEA">
      <w:start w:val="1"/>
      <w:numFmt w:val="bullet"/>
      <w:lvlText w:val="•"/>
      <w:lvlJc w:val="left"/>
      <w:pPr>
        <w:ind w:left="260" w:hanging="200"/>
      </w:pPr>
    </w:lvl>
    <w:lvl w:ilvl="1" w:tplc="732A7572">
      <w:numFmt w:val="decimal"/>
      <w:lvlText w:val=""/>
      <w:lvlJc w:val="left"/>
    </w:lvl>
    <w:lvl w:ilvl="2" w:tplc="F4F4BFD4">
      <w:numFmt w:val="decimal"/>
      <w:lvlText w:val=""/>
      <w:lvlJc w:val="left"/>
    </w:lvl>
    <w:lvl w:ilvl="3" w:tplc="B9F0DD96">
      <w:numFmt w:val="decimal"/>
      <w:lvlText w:val=""/>
      <w:lvlJc w:val="left"/>
    </w:lvl>
    <w:lvl w:ilvl="4" w:tplc="56E6108A">
      <w:numFmt w:val="decimal"/>
      <w:lvlText w:val=""/>
      <w:lvlJc w:val="left"/>
    </w:lvl>
    <w:lvl w:ilvl="5" w:tplc="FEBE7C5C">
      <w:numFmt w:val="decimal"/>
      <w:lvlText w:val=""/>
      <w:lvlJc w:val="left"/>
    </w:lvl>
    <w:lvl w:ilvl="6" w:tplc="3BBAAEDA">
      <w:numFmt w:val="decimal"/>
      <w:lvlText w:val=""/>
      <w:lvlJc w:val="left"/>
    </w:lvl>
    <w:lvl w:ilvl="7" w:tplc="5296B48A">
      <w:numFmt w:val="decimal"/>
      <w:lvlText w:val=""/>
      <w:lvlJc w:val="left"/>
    </w:lvl>
    <w:lvl w:ilvl="8" w:tplc="937A38E2">
      <w:numFmt w:val="decimal"/>
      <w:lvlText w:val=""/>
      <w:lvlJc w:val="left"/>
    </w:lvl>
  </w:abstractNum>
  <w:abstractNum w:abstractNumId="1" w15:restartNumberingAfterBreak="0">
    <w:nsid w:val="435266CA"/>
    <w:multiLevelType w:val="hybridMultilevel"/>
    <w:tmpl w:val="1A860264"/>
    <w:lvl w:ilvl="0" w:tplc="F564A9CA">
      <w:start w:val="1"/>
      <w:numFmt w:val="bullet"/>
      <w:lvlText w:val="●"/>
      <w:lvlJc w:val="left"/>
      <w:pPr>
        <w:ind w:left="720" w:hanging="360"/>
      </w:pPr>
    </w:lvl>
    <w:lvl w:ilvl="1" w:tplc="5BE49A5A">
      <w:start w:val="1"/>
      <w:numFmt w:val="bullet"/>
      <w:lvlText w:val="○"/>
      <w:lvlJc w:val="left"/>
      <w:pPr>
        <w:ind w:left="1440" w:hanging="360"/>
      </w:pPr>
    </w:lvl>
    <w:lvl w:ilvl="2" w:tplc="1E809EA4">
      <w:start w:val="1"/>
      <w:numFmt w:val="bullet"/>
      <w:lvlText w:val="■"/>
      <w:lvlJc w:val="left"/>
      <w:pPr>
        <w:ind w:left="2160" w:hanging="360"/>
      </w:pPr>
    </w:lvl>
    <w:lvl w:ilvl="3" w:tplc="62DE65A8">
      <w:start w:val="1"/>
      <w:numFmt w:val="bullet"/>
      <w:lvlText w:val="●"/>
      <w:lvlJc w:val="left"/>
      <w:pPr>
        <w:ind w:left="2880" w:hanging="360"/>
      </w:pPr>
    </w:lvl>
    <w:lvl w:ilvl="4" w:tplc="7982E3AE">
      <w:start w:val="1"/>
      <w:numFmt w:val="bullet"/>
      <w:lvlText w:val="○"/>
      <w:lvlJc w:val="left"/>
      <w:pPr>
        <w:ind w:left="3600" w:hanging="360"/>
      </w:pPr>
    </w:lvl>
    <w:lvl w:ilvl="5" w:tplc="44109F24">
      <w:start w:val="1"/>
      <w:numFmt w:val="bullet"/>
      <w:lvlText w:val="■"/>
      <w:lvlJc w:val="left"/>
      <w:pPr>
        <w:ind w:left="4320" w:hanging="360"/>
      </w:pPr>
    </w:lvl>
    <w:lvl w:ilvl="6" w:tplc="C9427630">
      <w:start w:val="1"/>
      <w:numFmt w:val="bullet"/>
      <w:lvlText w:val="●"/>
      <w:lvlJc w:val="left"/>
      <w:pPr>
        <w:ind w:left="5040" w:hanging="360"/>
      </w:pPr>
    </w:lvl>
    <w:lvl w:ilvl="7" w:tplc="950C6E5E">
      <w:start w:val="1"/>
      <w:numFmt w:val="bullet"/>
      <w:lvlText w:val="●"/>
      <w:lvlJc w:val="left"/>
      <w:pPr>
        <w:ind w:left="5760" w:hanging="360"/>
      </w:pPr>
    </w:lvl>
    <w:lvl w:ilvl="8" w:tplc="9684ABEE">
      <w:start w:val="1"/>
      <w:numFmt w:val="bullet"/>
      <w:lvlText w:val="●"/>
      <w:lvlJc w:val="left"/>
      <w:pPr>
        <w:ind w:left="6480" w:hanging="360"/>
      </w:pPr>
    </w:lvl>
  </w:abstractNum>
  <w:num w:numId="1" w16cid:durableId="1530681928">
    <w:abstractNumId w:val="1"/>
    <w:lvlOverride w:ilvl="0">
      <w:startOverride w:val="1"/>
    </w:lvlOverride>
  </w:num>
  <w:num w:numId="2" w16cid:durableId="243368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F7A"/>
    <w:rsid w:val="00486F39"/>
    <w:rsid w:val="005265F7"/>
    <w:rsid w:val="00793F7A"/>
    <w:rsid w:val="00B4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BF213"/>
  <w15:docId w15:val="{7861E333-F674-EA41-808A-F7BC0610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6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5F7"/>
  </w:style>
  <w:style w:type="paragraph" w:styleId="Footer">
    <w:name w:val="footer"/>
    <w:basedOn w:val="Normal"/>
    <w:link w:val="FooterChar"/>
    <w:uiPriority w:val="99"/>
    <w:unhideWhenUsed/>
    <w:rsid w:val="005265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2026-07-07T01:30:00Z</dcterms:created>
  <dcterms:modified xsi:type="dcterms:W3CDTF">2026-07-07T01:35:00Z</dcterms:modified>
</cp:coreProperties>
</file>